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center"/>
        <w:textAlignment w:val="auto"/>
        <w:rPr>
          <w:rFonts w:hint="eastAsia" w:ascii="微软雅黑" w:hAnsi="微软雅黑" w:eastAsia="微软雅黑" w:cs="微软雅黑"/>
          <w:i w:val="0"/>
          <w:caps w:val="0"/>
          <w:color w:val="333333"/>
          <w:spacing w:val="4"/>
          <w:sz w:val="24"/>
          <w:szCs w:val="24"/>
        </w:rPr>
      </w:pPr>
      <w:r>
        <w:rPr>
          <w:rStyle w:val="5"/>
          <w:rFonts w:hint="eastAsia" w:ascii="微软雅黑" w:hAnsi="微软雅黑" w:eastAsia="微软雅黑" w:cs="微软雅黑"/>
          <w:i w:val="0"/>
          <w:caps w:val="0"/>
          <w:color w:val="333333"/>
          <w:spacing w:val="4"/>
          <w:sz w:val="24"/>
          <w:szCs w:val="24"/>
          <w:shd w:val="clear" w:fill="FFFFFF"/>
        </w:rPr>
        <w:t>罕见病医疗援助工程浙江专项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center"/>
        <w:textAlignment w:val="auto"/>
        <w:rPr>
          <w:rFonts w:hint="eastAsia" w:ascii="微软雅黑" w:hAnsi="微软雅黑" w:eastAsia="微软雅黑" w:cs="微软雅黑"/>
          <w:i w:val="0"/>
          <w:caps w:val="0"/>
          <w:color w:val="333333"/>
          <w:spacing w:val="4"/>
          <w:sz w:val="24"/>
          <w:szCs w:val="24"/>
        </w:rPr>
      </w:pPr>
      <w:r>
        <w:rPr>
          <w:rStyle w:val="5"/>
          <w:rFonts w:hint="eastAsia" w:ascii="微软雅黑" w:hAnsi="微软雅黑" w:eastAsia="微软雅黑" w:cs="微软雅黑"/>
          <w:i w:val="0"/>
          <w:caps w:val="0"/>
          <w:color w:val="333333"/>
          <w:spacing w:val="4"/>
          <w:sz w:val="24"/>
          <w:szCs w:val="24"/>
          <w:shd w:val="clear" w:fill="FFFFFF"/>
        </w:rPr>
        <w:t>申请公告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240" w:lineRule="auto"/>
        <w:ind w:left="0" w:right="0" w:firstLine="0"/>
        <w:jc w:val="center"/>
        <w:textAlignment w:val="auto"/>
        <w:rPr>
          <w:rFonts w:hint="eastAsia" w:ascii="微软雅黑" w:hAnsi="微软雅黑" w:eastAsia="微软雅黑" w:cs="微软雅黑"/>
          <w:i w:val="0"/>
          <w:caps w:val="0"/>
          <w:color w:val="333333"/>
          <w:spacing w:val="4"/>
          <w:sz w:val="24"/>
          <w:szCs w:val="24"/>
          <w:shd w:val="clear" w:fill="FFFFFF"/>
          <w:lang w:eastAsia="zh-CN"/>
        </w:rPr>
      </w:pPr>
      <w:r>
        <w:rPr>
          <w:rFonts w:hint="eastAsia" w:ascii="微软雅黑" w:hAnsi="微软雅黑" w:eastAsia="微软雅黑" w:cs="微软雅黑"/>
          <w:i w:val="0"/>
          <w:caps w:val="0"/>
          <w:color w:val="333333"/>
          <w:spacing w:val="4"/>
          <w:sz w:val="24"/>
          <w:szCs w:val="24"/>
          <w:shd w:val="clear" w:fill="FFFFFF"/>
          <w:lang w:eastAsia="zh-CN"/>
        </w:rPr>
        <w:drawing>
          <wp:inline distT="0" distB="0" distL="114300" distR="114300">
            <wp:extent cx="2024380" cy="1465580"/>
            <wp:effectExtent l="0" t="0" r="4445" b="1270"/>
            <wp:docPr id="1" name="图片 1" descr="山东专项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山东专项logo"/>
                    <pic:cNvPicPr>
                      <a:picLocks noChangeAspect="1"/>
                    </pic:cNvPicPr>
                  </pic:nvPicPr>
                  <pic:blipFill>
                    <a:blip r:embed="rId4"/>
                    <a:stretch>
                      <a:fillRect/>
                    </a:stretch>
                  </pic:blipFill>
                  <pic:spPr>
                    <a:xfrm>
                      <a:off x="0" y="0"/>
                      <a:ext cx="2024380" cy="1465580"/>
                    </a:xfrm>
                    <a:prstGeom prst="rect">
                      <a:avLst/>
                    </a:prstGeom>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shd w:val="clear" w:fill="FFFFFF"/>
        </w:rPr>
      </w:pPr>
      <w:r>
        <w:rPr>
          <w:rFonts w:hint="eastAsia" w:ascii="微软雅黑" w:hAnsi="微软雅黑" w:eastAsia="微软雅黑" w:cs="微软雅黑"/>
          <w:i w:val="0"/>
          <w:caps w:val="0"/>
          <w:color w:val="333333"/>
          <w:spacing w:val="4"/>
          <w:sz w:val="24"/>
          <w:szCs w:val="24"/>
          <w:shd w:val="clear" w:fill="FFFFFF"/>
        </w:rPr>
        <w:t>为了积极响应浙江省罕见病医疗保障政策，进一步发挥社会慈善力量在罕见病医疗保障工作中的积极作用，2020年6月，病痛挑战基金会联合浙江企业权益保护协会社会公益部、中华社会救助基金会、浙江省医学会罕见病分会主要专家、水滴公益等多方，发起</w:t>
      </w:r>
      <w:r>
        <w:rPr>
          <w:rFonts w:hint="eastAsia" w:ascii="微软雅黑" w:hAnsi="微软雅黑" w:eastAsia="微软雅黑" w:cs="微软雅黑"/>
          <w:i w:val="0"/>
          <w:caps w:val="0"/>
          <w:color w:val="FF0000"/>
          <w:spacing w:val="4"/>
          <w:sz w:val="24"/>
          <w:szCs w:val="24"/>
          <w:shd w:val="clear" w:fill="FFFFFF"/>
        </w:rPr>
        <w:t>罕见病医疗援助工程浙江专项</w:t>
      </w:r>
      <w:r>
        <w:rPr>
          <w:rFonts w:hint="eastAsia" w:ascii="微软雅黑" w:hAnsi="微软雅黑" w:eastAsia="微软雅黑" w:cs="微软雅黑"/>
          <w:i w:val="0"/>
          <w:caps w:val="0"/>
          <w:color w:val="333333"/>
          <w:spacing w:val="4"/>
          <w:sz w:val="24"/>
          <w:szCs w:val="24"/>
          <w:shd w:val="clear" w:fill="FFFFFF"/>
        </w:rPr>
        <w:t>，搭建罕见病“多方共付”的样板工程，为浙江地区罕见病患者提供医疗资源转介、医保信息、最新药物信息、资金援助等全方位支持，希望为全国多方支付的罕见病医保体系建设贡献力量。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shd w:val="clear" w:fill="FFFFFF"/>
          <w:lang w:val="en-US" w:eastAsia="zh-CN"/>
        </w:rPr>
      </w:pPr>
      <w:r>
        <w:rPr>
          <w:rFonts w:hint="eastAsia" w:ascii="微软雅黑" w:hAnsi="微软雅黑" w:eastAsia="微软雅黑" w:cs="微软雅黑"/>
          <w:i w:val="0"/>
          <w:caps w:val="0"/>
          <w:color w:val="333333"/>
          <w:spacing w:val="4"/>
          <w:sz w:val="24"/>
          <w:szCs w:val="24"/>
          <w:shd w:val="clear" w:fill="FFFFFF"/>
          <w:lang w:val="en-US" w:eastAsia="zh-CN"/>
        </w:rPr>
        <w:t>截止至2022年4月，罕见病医疗援助工程浙江专项共组织专项审核会7次，经审核会审核通过并援助67人，累计拨付善款逾150万元，涉及病种13个。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shd w:val="clear" w:fill="FFFFFF"/>
          <w:lang w:val="en-US" w:eastAsia="zh-CN"/>
        </w:rPr>
      </w:pPr>
      <w:r>
        <w:rPr>
          <w:rFonts w:hint="eastAsia" w:ascii="微软雅黑" w:hAnsi="微软雅黑" w:eastAsia="微软雅黑" w:cs="微软雅黑"/>
          <w:i w:val="0"/>
          <w:caps w:val="0"/>
          <w:color w:val="333333"/>
          <w:spacing w:val="4"/>
          <w:sz w:val="24"/>
          <w:szCs w:val="24"/>
          <w:shd w:val="clear" w:fill="FFFFFF"/>
          <w:lang w:val="en-US" w:eastAsia="zh-CN"/>
        </w:rPr>
        <w:t>罕见病医疗援助工程山东专项正在接受申请中，有申请需求的病友，请详见以下公告。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Style w:val="5"/>
          <w:rFonts w:hint="eastAsia" w:ascii="微软雅黑" w:hAnsi="微软雅黑" w:eastAsia="微软雅黑" w:cs="微软雅黑"/>
          <w:i w:val="0"/>
          <w:caps w:val="0"/>
          <w:color w:val="333333"/>
          <w:spacing w:val="4"/>
          <w:sz w:val="24"/>
          <w:szCs w:val="24"/>
          <w:shd w:val="clear" w:fill="FFFFFF"/>
        </w:rPr>
        <w:t>项目愿景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通过社会慈善力量援助罕见病社群，撬动社会政策改善及多方援助资源介入，提升罕见病群体生命权、健康权的获得感，提升罕见病医疗保障水平，促进罕见病医疗保障多方支付模式的建立，为罕见病群体提供有针对性的专业医疗援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Style w:val="5"/>
          <w:rFonts w:hint="eastAsia" w:ascii="微软雅黑" w:hAnsi="微软雅黑" w:eastAsia="微软雅黑" w:cs="微软雅黑"/>
          <w:i w:val="0"/>
          <w:caps w:val="0"/>
          <w:color w:val="333333"/>
          <w:spacing w:val="4"/>
          <w:sz w:val="24"/>
          <w:szCs w:val="24"/>
          <w:shd w:val="clear" w:fill="FFFFFF"/>
        </w:rPr>
        <w:t>项目目标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1.通过多方资源筹集，为浙江罕见病患者提供最后一公里的助推剂；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2.探索罕见病保障政策落地地区的多方共付模式，推进模式和样板；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3.罕见病诊疗协作网参与罕见病患者诊断及推荐，让患者享受就医，报销，社会慈善援助一站式服务，最大化便捷患者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Style w:val="5"/>
          <w:rFonts w:hint="eastAsia" w:ascii="微软雅黑" w:hAnsi="微软雅黑" w:eastAsia="微软雅黑" w:cs="微软雅黑"/>
          <w:i w:val="0"/>
          <w:caps w:val="0"/>
          <w:color w:val="333333"/>
          <w:spacing w:val="4"/>
          <w:sz w:val="24"/>
          <w:szCs w:val="24"/>
          <w:shd w:val="clear" w:fill="FFFFFF"/>
        </w:rPr>
        <w:t>援助对象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（一）户籍及参保情况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首次确诊时，已获得浙江省户籍满5年的浙江省基本医疗保险参保人员；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年龄不满5周岁，浙江省户籍，其生父母一方获得浙江省户籍满5年的浙江省基本医疗保险参保人员；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（二）明确诊断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shd w:val="clear" w:fill="FFFFFF"/>
        </w:rPr>
      </w:pPr>
      <w:r>
        <w:rPr>
          <w:rFonts w:hint="eastAsia" w:ascii="微软雅黑" w:hAnsi="微软雅黑" w:eastAsia="微软雅黑" w:cs="微软雅黑"/>
          <w:i w:val="0"/>
          <w:caps w:val="0"/>
          <w:color w:val="333333"/>
          <w:spacing w:val="4"/>
          <w:sz w:val="24"/>
          <w:szCs w:val="24"/>
          <w:shd w:val="clear" w:fill="FFFFFF"/>
        </w:rPr>
        <w:t>于国家卫生与健康委员会认定的浙江省罕见病诊疗协作网医院</w:t>
      </w:r>
      <w:r>
        <w:rPr>
          <w:rFonts w:hint="eastAsia" w:ascii="微软雅黑" w:hAnsi="微软雅黑" w:eastAsia="微软雅黑" w:cs="微软雅黑"/>
          <w:i w:val="0"/>
          <w:caps w:val="0"/>
          <w:color w:val="333333"/>
          <w:spacing w:val="4"/>
          <w:sz w:val="24"/>
          <w:szCs w:val="24"/>
          <w:shd w:val="clear" w:fill="FFFFFF"/>
        </w:rPr>
        <w:t>明确诊断，并出具诊断证明，且确诊病种属于国家已经公布的第一批罕见病目录内病种（参照国卫办医函〔2019〕157号《国家卫生健康委办公厅关于建立全国罕见病诊疗协作网的通知》，</w:t>
      </w:r>
      <w:r>
        <w:rPr>
          <w:rFonts w:hint="eastAsia" w:ascii="微软雅黑" w:hAnsi="微软雅黑" w:eastAsia="微软雅黑" w:cs="微软雅黑"/>
          <w:i w:val="0"/>
          <w:caps w:val="0"/>
          <w:color w:val="333333"/>
          <w:spacing w:val="4"/>
          <w:sz w:val="24"/>
          <w:szCs w:val="24"/>
          <w:shd w:val="clear" w:fill="FFFFFF"/>
          <w:lang w:val="en-US" w:eastAsia="zh-CN"/>
        </w:rPr>
        <w:t>浙江</w:t>
      </w:r>
      <w:r>
        <w:rPr>
          <w:rFonts w:hint="eastAsia" w:ascii="微软雅黑" w:hAnsi="微软雅黑" w:eastAsia="微软雅黑" w:cs="微软雅黑"/>
          <w:i w:val="0"/>
          <w:caps w:val="0"/>
          <w:color w:val="333333"/>
          <w:spacing w:val="4"/>
          <w:sz w:val="24"/>
          <w:szCs w:val="24"/>
          <w:shd w:val="clear" w:fill="FFFFFF"/>
        </w:rPr>
        <w:t>省罕见病诊疗协作网医院见本文后附录2）；或经过项目工作组确认的其他医院。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（三）定点治疗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于国家卫生与健康委员会认定的浙江省罕见病诊疗协作网医院接受治疗并产生相应医疗费用；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（四）发生家庭灾难性医疗支出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存在自费医疗费用</w:t>
      </w:r>
      <w:r>
        <w:rPr>
          <w:rFonts w:hint="eastAsia" w:ascii="微软雅黑" w:hAnsi="微软雅黑" w:eastAsia="微软雅黑" w:cs="微软雅黑"/>
          <w:i w:val="0"/>
          <w:caps w:val="0"/>
          <w:color w:val="FF0000"/>
          <w:spacing w:val="4"/>
          <w:sz w:val="24"/>
          <w:szCs w:val="24"/>
          <w:shd w:val="clear" w:fill="FFFFFF"/>
        </w:rPr>
        <w:t>超过家庭年可支配收入40%</w:t>
      </w:r>
      <w:r>
        <w:rPr>
          <w:rFonts w:hint="eastAsia" w:ascii="微软雅黑" w:hAnsi="微软雅黑" w:eastAsia="微软雅黑" w:cs="微软雅黑"/>
          <w:i w:val="0"/>
          <w:caps w:val="0"/>
          <w:color w:val="333333"/>
          <w:spacing w:val="4"/>
          <w:sz w:val="24"/>
          <w:szCs w:val="24"/>
          <w:shd w:val="clear" w:fill="FFFFFF"/>
        </w:rPr>
        <w:t>的家庭灾难性医疗支出。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Style w:val="5"/>
          <w:rFonts w:hint="eastAsia" w:ascii="微软雅黑" w:hAnsi="微软雅黑" w:eastAsia="微软雅黑" w:cs="微软雅黑"/>
          <w:i w:val="0"/>
          <w:caps w:val="0"/>
          <w:color w:val="333333"/>
          <w:spacing w:val="4"/>
          <w:sz w:val="24"/>
          <w:szCs w:val="24"/>
          <w:shd w:val="clear" w:fill="FFFFFF"/>
        </w:rPr>
        <w:t>项目援助类型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一类援助：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1.已经进行本病种相关治疗，产生特效药或特食的相关费用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2.相关票据符合项目票据的规定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3.援助个案平均金额约为20000元，上限50000元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说明：最终援助金额将由项目审核委员会审核确认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二类援助：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1.进行本病种相关治疗，产生对症治疗的药费、住院费、康复费或辅具适配的费用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2.相关票据符合项目票据的规定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3.援助个案平均金额约为5000元，上限10000元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说明：最终援助金额将由项目审核委员会审核确认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p>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auto"/>
        <w:rPr>
          <w:rFonts w:hint="eastAsia" w:ascii="微软雅黑" w:hAnsi="微软雅黑" w:eastAsia="微软雅黑" w:cs="微软雅黑"/>
          <w:sz w:val="48"/>
          <w:szCs w:val="56"/>
        </w:rPr>
      </w:pPr>
      <w:r>
        <w:rPr>
          <w:rStyle w:val="5"/>
          <w:rFonts w:hint="eastAsia" w:ascii="微软雅黑" w:hAnsi="微软雅黑" w:eastAsia="微软雅黑" w:cs="微软雅黑"/>
          <w:kern w:val="0"/>
          <w:sz w:val="24"/>
          <w:szCs w:val="24"/>
          <w:lang w:val="en-US" w:eastAsia="zh-CN" w:bidi="ar"/>
        </w:rPr>
        <w:t>项目申请流程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shd w:val="clear" w:fill="FFFFFF"/>
        </w:rPr>
      </w:pPr>
      <w:r>
        <w:rPr>
          <w:rFonts w:hint="eastAsia" w:ascii="微软雅黑" w:hAnsi="微软雅黑" w:eastAsia="微软雅黑" w:cs="微软雅黑"/>
          <w:i w:val="0"/>
          <w:caps w:val="0"/>
          <w:color w:val="333333"/>
          <w:spacing w:val="4"/>
          <w:sz w:val="24"/>
          <w:szCs w:val="24"/>
          <w:shd w:val="clear" w:fill="FFFFFF"/>
        </w:rPr>
        <w:t>1.</w:t>
      </w:r>
      <w:r>
        <w:rPr>
          <w:rFonts w:hint="eastAsia" w:ascii="微软雅黑" w:hAnsi="微软雅黑" w:eastAsia="微软雅黑" w:cs="微软雅黑"/>
          <w:i w:val="0"/>
          <w:caps w:val="0"/>
          <w:color w:val="333333"/>
          <w:spacing w:val="4"/>
          <w:sz w:val="24"/>
          <w:szCs w:val="24"/>
          <w:shd w:val="clear" w:fill="FFFFFF"/>
          <w:lang w:val="en-US" w:eastAsia="zh-CN"/>
        </w:rPr>
        <w:t>浙江</w:t>
      </w:r>
      <w:r>
        <w:rPr>
          <w:rFonts w:hint="eastAsia" w:ascii="微软雅黑" w:hAnsi="微软雅黑" w:eastAsia="微软雅黑" w:cs="微软雅黑"/>
          <w:i w:val="0"/>
          <w:caps w:val="0"/>
          <w:color w:val="333333"/>
          <w:spacing w:val="4"/>
          <w:sz w:val="24"/>
          <w:szCs w:val="24"/>
          <w:shd w:val="clear" w:fill="FFFFFF"/>
        </w:rPr>
        <w:t>省罕见病诊疗协作网医院推荐申请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shd w:val="clear" w:fill="FFFFFF"/>
          <w:lang w:val="en-US" w:eastAsia="zh-CN"/>
        </w:rPr>
      </w:pPr>
      <w:r>
        <w:rPr>
          <w:rFonts w:hint="eastAsia" w:ascii="微软雅黑" w:hAnsi="微软雅黑" w:eastAsia="微软雅黑" w:cs="微软雅黑"/>
          <w:i w:val="0"/>
          <w:caps w:val="0"/>
          <w:color w:val="333333"/>
          <w:spacing w:val="4"/>
          <w:sz w:val="24"/>
          <w:szCs w:val="24"/>
          <w:shd w:val="clear" w:fill="FFFFFF"/>
          <w:lang w:val="en-US" w:eastAsia="zh-CN"/>
        </w:rPr>
        <w:t>2.病友信息登记病友或其家属长按下方二维码或点击“阅读原文”（链接：http://lxi.me/lt2mi），填写表单：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240" w:lineRule="auto"/>
        <w:ind w:left="0" w:right="0" w:firstLine="0"/>
        <w:jc w:val="center"/>
        <w:textAlignment w:val="auto"/>
        <w:rPr>
          <w:rFonts w:hint="eastAsia" w:ascii="微软雅黑" w:hAnsi="微软雅黑" w:eastAsia="微软雅黑" w:cs="微软雅黑"/>
          <w:i w:val="0"/>
          <w:caps w:val="0"/>
          <w:color w:val="333333"/>
          <w:spacing w:val="4"/>
          <w:sz w:val="24"/>
          <w:szCs w:val="24"/>
          <w:shd w:val="clear" w:fill="FFFFFF"/>
          <w:lang w:eastAsia="zh-CN"/>
        </w:rPr>
      </w:pPr>
      <w:r>
        <w:rPr>
          <w:rFonts w:hint="eastAsia" w:ascii="微软雅黑" w:hAnsi="微软雅黑" w:eastAsia="微软雅黑" w:cs="微软雅黑"/>
          <w:i w:val="0"/>
          <w:caps w:val="0"/>
          <w:color w:val="333333"/>
          <w:spacing w:val="4"/>
          <w:sz w:val="24"/>
          <w:szCs w:val="24"/>
          <w:shd w:val="clear" w:fill="FFFFFF"/>
          <w:lang w:eastAsia="zh-CN"/>
        </w:rPr>
        <w:drawing>
          <wp:inline distT="0" distB="0" distL="114300" distR="114300">
            <wp:extent cx="1146810" cy="1146810"/>
            <wp:effectExtent l="0" t="0" r="5715" b="5715"/>
            <wp:docPr id="2" name="图片 2" descr="60a19ec348cb34ecc47b5e3fbfc385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0a19ec348cb34ecc47b5e3fbfc3851d"/>
                    <pic:cNvPicPr>
                      <a:picLocks noChangeAspect="1"/>
                    </pic:cNvPicPr>
                  </pic:nvPicPr>
                  <pic:blipFill>
                    <a:blip r:embed="rId5"/>
                    <a:stretch>
                      <a:fillRect/>
                    </a:stretch>
                  </pic:blipFill>
                  <pic:spPr>
                    <a:xfrm>
                      <a:off x="0" y="0"/>
                      <a:ext cx="1146810" cy="1146810"/>
                    </a:xfrm>
                    <a:prstGeom prst="rect">
                      <a:avLst/>
                    </a:prstGeom>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shd w:val="clear"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shd w:val="clear" w:fill="FFFFFF"/>
        </w:rPr>
      </w:pPr>
      <w:r>
        <w:rPr>
          <w:rFonts w:hint="eastAsia" w:ascii="微软雅黑" w:hAnsi="微软雅黑" w:eastAsia="微软雅黑" w:cs="微软雅黑"/>
          <w:i w:val="0"/>
          <w:caps w:val="0"/>
          <w:color w:val="333333"/>
          <w:spacing w:val="4"/>
          <w:sz w:val="24"/>
          <w:szCs w:val="24"/>
          <w:shd w:val="clear" w:fill="FFFFFF"/>
        </w:rPr>
        <w:t>3.</w:t>
      </w:r>
      <w:r>
        <w:rPr>
          <w:rFonts w:hint="eastAsia" w:ascii="微软雅黑" w:hAnsi="微软雅黑" w:eastAsia="微软雅黑" w:cs="微软雅黑"/>
          <w:i w:val="0"/>
          <w:caps w:val="0"/>
          <w:color w:val="333333"/>
          <w:spacing w:val="4"/>
          <w:sz w:val="24"/>
          <w:szCs w:val="24"/>
          <w:shd w:val="clear" w:fill="FFFFFF"/>
          <w:lang w:val="en-US" w:eastAsia="zh-CN"/>
        </w:rPr>
        <w:t>浙江</w:t>
      </w:r>
      <w:r>
        <w:rPr>
          <w:rFonts w:hint="eastAsia" w:ascii="微软雅黑" w:hAnsi="微软雅黑" w:eastAsia="微软雅黑" w:cs="微软雅黑"/>
          <w:i w:val="0"/>
          <w:caps w:val="0"/>
          <w:color w:val="333333"/>
          <w:spacing w:val="4"/>
          <w:sz w:val="24"/>
          <w:szCs w:val="24"/>
          <w:shd w:val="clear" w:fill="FFFFFF"/>
        </w:rPr>
        <w:t>专项工作组根据项目项目援助对象要求，认定申请人符合申请规则并确认申请人需求；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shd w:val="clear" w:fill="FFFFFF"/>
        </w:rPr>
      </w:pPr>
      <w:r>
        <w:rPr>
          <w:rFonts w:hint="eastAsia" w:ascii="微软雅黑" w:hAnsi="微软雅黑" w:eastAsia="微软雅黑" w:cs="微软雅黑"/>
          <w:i w:val="0"/>
          <w:caps w:val="0"/>
          <w:color w:val="333333"/>
          <w:spacing w:val="4"/>
          <w:sz w:val="24"/>
          <w:szCs w:val="24"/>
          <w:shd w:val="clear" w:fill="FFFFFF"/>
        </w:rPr>
        <w:t>4.向申请人发放“罕见病医疗援助工程</w:t>
      </w:r>
      <w:r>
        <w:rPr>
          <w:rFonts w:hint="eastAsia" w:ascii="微软雅黑" w:hAnsi="微软雅黑" w:eastAsia="微软雅黑" w:cs="微软雅黑"/>
          <w:i w:val="0"/>
          <w:caps w:val="0"/>
          <w:color w:val="333333"/>
          <w:spacing w:val="4"/>
          <w:sz w:val="24"/>
          <w:szCs w:val="24"/>
          <w:shd w:val="clear" w:fill="FFFFFF"/>
          <w:lang w:val="en-US" w:eastAsia="zh-CN"/>
        </w:rPr>
        <w:t>浙江</w:t>
      </w:r>
      <w:r>
        <w:rPr>
          <w:rFonts w:hint="eastAsia" w:ascii="微软雅黑" w:hAnsi="微软雅黑" w:eastAsia="微软雅黑" w:cs="微软雅黑"/>
          <w:i w:val="0"/>
          <w:caps w:val="0"/>
          <w:color w:val="333333"/>
          <w:spacing w:val="4"/>
          <w:sz w:val="24"/>
          <w:szCs w:val="24"/>
          <w:shd w:val="clear" w:fill="FFFFFF"/>
        </w:rPr>
        <w:t>专项申请表”或申请人直接于病痛挑战基金会官网下载（登陆：www.chinaicf.org- 点击“关于我们”-点击“资源中心”-下载相关表格）；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shd w:val="clear" w:fill="FFFFFF"/>
        </w:rPr>
      </w:pPr>
      <w:r>
        <w:rPr>
          <w:rFonts w:hint="eastAsia" w:ascii="微软雅黑" w:hAnsi="微软雅黑" w:eastAsia="微软雅黑" w:cs="微软雅黑"/>
          <w:i w:val="0"/>
          <w:caps w:val="0"/>
          <w:color w:val="333333"/>
          <w:spacing w:val="4"/>
          <w:sz w:val="24"/>
          <w:szCs w:val="24"/>
          <w:shd w:val="clear" w:fill="FFFFFF"/>
        </w:rPr>
        <w:t>5.申请人填写后，将费用发票同申请资料完整地邮寄到项目组参与每月进行的审核会；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shd w:val="clear" w:fill="FFFFFF"/>
        </w:rPr>
      </w:pPr>
      <w:r>
        <w:rPr>
          <w:rFonts w:hint="eastAsia" w:ascii="微软雅黑" w:hAnsi="微软雅黑" w:eastAsia="微软雅黑" w:cs="微软雅黑"/>
          <w:i w:val="0"/>
          <w:caps w:val="0"/>
          <w:color w:val="333333"/>
          <w:spacing w:val="4"/>
          <w:sz w:val="24"/>
          <w:szCs w:val="24"/>
          <w:shd w:val="clear" w:fill="FFFFFF"/>
        </w:rPr>
        <w:t>6.对审核通过的病友进行援助。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Style w:val="5"/>
          <w:rFonts w:hint="eastAsia" w:ascii="微软雅黑" w:hAnsi="微软雅黑" w:eastAsia="微软雅黑" w:cs="微软雅黑"/>
          <w:i w:val="0"/>
          <w:caps w:val="0"/>
          <w:color w:val="333333"/>
          <w:spacing w:val="4"/>
          <w:sz w:val="24"/>
          <w:szCs w:val="24"/>
          <w:shd w:val="clear" w:fill="FFFFFF"/>
        </w:rPr>
        <w:t>项目周期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项目启动时间为202</w:t>
      </w:r>
      <w:r>
        <w:rPr>
          <w:rFonts w:hint="eastAsia" w:ascii="微软雅黑" w:hAnsi="微软雅黑" w:eastAsia="微软雅黑" w:cs="微软雅黑"/>
          <w:i w:val="0"/>
          <w:caps w:val="0"/>
          <w:color w:val="333333"/>
          <w:spacing w:val="4"/>
          <w:sz w:val="24"/>
          <w:szCs w:val="24"/>
          <w:shd w:val="clear" w:fill="FFFFFF"/>
          <w:lang w:val="en-US" w:eastAsia="zh-CN"/>
        </w:rPr>
        <w:t>2</w:t>
      </w:r>
      <w:r>
        <w:rPr>
          <w:rFonts w:hint="eastAsia" w:ascii="微软雅黑" w:hAnsi="微软雅黑" w:eastAsia="微软雅黑" w:cs="微软雅黑"/>
          <w:i w:val="0"/>
          <w:caps w:val="0"/>
          <w:color w:val="333333"/>
          <w:spacing w:val="4"/>
          <w:sz w:val="24"/>
          <w:szCs w:val="24"/>
          <w:shd w:val="clear" w:fill="FFFFFF"/>
        </w:rPr>
        <w:t xml:space="preserve"> 年</w:t>
      </w:r>
      <w:r>
        <w:rPr>
          <w:rFonts w:hint="eastAsia" w:ascii="微软雅黑" w:hAnsi="微软雅黑" w:eastAsia="微软雅黑" w:cs="微软雅黑"/>
          <w:i w:val="0"/>
          <w:caps w:val="0"/>
          <w:color w:val="333333"/>
          <w:spacing w:val="4"/>
          <w:sz w:val="24"/>
          <w:szCs w:val="24"/>
          <w:shd w:val="clear" w:fill="FFFFFF"/>
          <w:lang w:val="en-US" w:eastAsia="zh-CN"/>
        </w:rPr>
        <w:t>5</w:t>
      </w:r>
      <w:r>
        <w:rPr>
          <w:rFonts w:hint="eastAsia" w:ascii="微软雅黑" w:hAnsi="微软雅黑" w:eastAsia="微软雅黑" w:cs="微软雅黑"/>
          <w:i w:val="0"/>
          <w:caps w:val="0"/>
          <w:color w:val="333333"/>
          <w:spacing w:val="4"/>
          <w:sz w:val="24"/>
          <w:szCs w:val="24"/>
          <w:shd w:val="clear" w:fill="FFFFFF"/>
        </w:rPr>
        <w:t>月-202</w:t>
      </w:r>
      <w:r>
        <w:rPr>
          <w:rFonts w:hint="eastAsia" w:ascii="微软雅黑" w:hAnsi="微软雅黑" w:eastAsia="微软雅黑" w:cs="微软雅黑"/>
          <w:i w:val="0"/>
          <w:caps w:val="0"/>
          <w:color w:val="333333"/>
          <w:spacing w:val="4"/>
          <w:sz w:val="24"/>
          <w:szCs w:val="24"/>
          <w:shd w:val="clear" w:fill="FFFFFF"/>
          <w:lang w:val="en-US" w:eastAsia="zh-CN"/>
        </w:rPr>
        <w:t>3</w:t>
      </w:r>
      <w:bookmarkStart w:id="0" w:name="_GoBack"/>
      <w:bookmarkEnd w:id="0"/>
      <w:r>
        <w:rPr>
          <w:rFonts w:hint="eastAsia" w:ascii="微软雅黑" w:hAnsi="微软雅黑" w:eastAsia="微软雅黑" w:cs="微软雅黑"/>
          <w:i w:val="0"/>
          <w:caps w:val="0"/>
          <w:color w:val="333333"/>
          <w:spacing w:val="4"/>
          <w:sz w:val="24"/>
          <w:szCs w:val="24"/>
          <w:shd w:val="clear" w:fill="FFFFFF"/>
        </w:rPr>
        <w:t>年2月，具体申请截止时间以项目公告为准；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每月 25 日为申请截止日（以收到病友申请表为准）；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每月10日为审核日；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审核后 3 个工作日内公示并通知援助对象；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得到通知后 15 日内邮寄援助协议与援助确认书；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下一个审批日前完成上一批打款同时完成公示。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Style w:val="5"/>
          <w:rFonts w:hint="eastAsia" w:ascii="微软雅黑" w:hAnsi="微软雅黑" w:eastAsia="微软雅黑" w:cs="微软雅黑"/>
          <w:i w:val="0"/>
          <w:caps w:val="0"/>
          <w:color w:val="333333"/>
          <w:spacing w:val="4"/>
          <w:sz w:val="24"/>
          <w:szCs w:val="24"/>
          <w:shd w:val="clear" w:fill="FFFFFF"/>
        </w:rPr>
        <w:t>项目联系方式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援助热线：4000408772转801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shd w:val="clear" w:fill="FFFFFF"/>
          <w:lang w:val="en-US" w:eastAsia="zh-CN"/>
        </w:rPr>
      </w:pPr>
      <w:r>
        <w:rPr>
          <w:rFonts w:hint="eastAsia" w:ascii="微软雅黑" w:hAnsi="微软雅黑" w:eastAsia="微软雅黑" w:cs="微软雅黑"/>
          <w:i w:val="0"/>
          <w:caps w:val="0"/>
          <w:color w:val="333333"/>
          <w:spacing w:val="4"/>
          <w:sz w:val="24"/>
          <w:szCs w:val="24"/>
          <w:shd w:val="clear" w:fill="FFFFFF"/>
        </w:rPr>
        <w:t>罕见病医疗援助工程</w:t>
      </w:r>
      <w:r>
        <w:rPr>
          <w:rFonts w:hint="eastAsia" w:ascii="微软雅黑" w:hAnsi="微软雅黑" w:eastAsia="微软雅黑" w:cs="微软雅黑"/>
          <w:i w:val="0"/>
          <w:caps w:val="0"/>
          <w:color w:val="333333"/>
          <w:spacing w:val="4"/>
          <w:sz w:val="24"/>
          <w:szCs w:val="24"/>
          <w:shd w:val="clear" w:fill="FFFFFF"/>
          <w:lang w:val="en-US" w:eastAsia="zh-CN"/>
        </w:rPr>
        <w:t>地方专项</w:t>
      </w:r>
      <w:r>
        <w:rPr>
          <w:rFonts w:hint="eastAsia" w:ascii="微软雅黑" w:hAnsi="微软雅黑" w:eastAsia="微软雅黑" w:cs="微软雅黑"/>
          <w:i w:val="0"/>
          <w:caps w:val="0"/>
          <w:color w:val="333333"/>
          <w:spacing w:val="4"/>
          <w:sz w:val="24"/>
          <w:szCs w:val="24"/>
          <w:shd w:val="clear" w:fill="FFFFFF"/>
        </w:rPr>
        <w:t>服务微信：</w:t>
      </w:r>
      <w:r>
        <w:rPr>
          <w:rFonts w:hint="eastAsia" w:ascii="微软雅黑" w:hAnsi="微软雅黑" w:eastAsia="微软雅黑" w:cs="微软雅黑"/>
          <w:i w:val="0"/>
          <w:caps w:val="0"/>
          <w:color w:val="333333"/>
          <w:spacing w:val="4"/>
          <w:sz w:val="24"/>
          <w:szCs w:val="24"/>
          <w:shd w:val="clear" w:fill="FFFFFF"/>
          <w:lang w:val="en-US" w:eastAsia="zh-CN"/>
        </w:rPr>
        <w:t>15801144189</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微信公众号：病痛挑战基金会（china_icf）</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电子邮箱：ylyz@chinaicf.org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网址：www .chinaicf.org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资料邮寄地址：山东省济南市历下区泉城路270号彩云大厦1702室（病痛挑战基金会山东办公室）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收件人：罕见病医疗援助工程浙江专项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shd w:val="clear" w:fill="FFFFFF"/>
          <w:lang w:val="en-US" w:eastAsia="zh-CN"/>
        </w:rPr>
      </w:pPr>
      <w:r>
        <w:rPr>
          <w:rFonts w:hint="eastAsia" w:ascii="微软雅黑" w:hAnsi="微软雅黑" w:eastAsia="微软雅黑" w:cs="微软雅黑"/>
          <w:i w:val="0"/>
          <w:caps w:val="0"/>
          <w:color w:val="333333"/>
          <w:spacing w:val="4"/>
          <w:sz w:val="24"/>
          <w:szCs w:val="24"/>
          <w:shd w:val="clear" w:fill="FFFFFF"/>
        </w:rPr>
        <w:t>收件电话：</w:t>
      </w:r>
      <w:r>
        <w:rPr>
          <w:rFonts w:hint="eastAsia" w:ascii="微软雅黑" w:hAnsi="微软雅黑" w:eastAsia="微软雅黑" w:cs="微软雅黑"/>
          <w:i w:val="0"/>
          <w:caps w:val="0"/>
          <w:color w:val="333333"/>
          <w:spacing w:val="4"/>
          <w:sz w:val="24"/>
          <w:szCs w:val="24"/>
          <w:shd w:val="clear" w:fill="FFFFFF"/>
          <w:lang w:val="en-US" w:eastAsia="zh-CN"/>
        </w:rPr>
        <w:t>15801144189</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drawing>
          <wp:inline distT="0" distB="0" distL="114300" distR="114300">
            <wp:extent cx="304800" cy="304800"/>
            <wp:effectExtent l="0" t="0" r="0" b="0"/>
            <wp:docPr id="6"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9"/>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center"/>
        <w:textAlignment w:val="auto"/>
        <w:rPr>
          <w:rStyle w:val="5"/>
          <w:rFonts w:hint="eastAsia" w:ascii="微软雅黑" w:hAnsi="微软雅黑" w:eastAsia="微软雅黑" w:cs="微软雅黑"/>
          <w:i w:val="0"/>
          <w:caps w:val="0"/>
          <w:color w:val="333333"/>
          <w:spacing w:val="4"/>
          <w:sz w:val="24"/>
          <w:szCs w:val="2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center"/>
        <w:textAlignment w:val="auto"/>
        <w:rPr>
          <w:rStyle w:val="5"/>
          <w:rFonts w:hint="eastAsia" w:ascii="微软雅黑" w:hAnsi="微软雅黑" w:eastAsia="微软雅黑" w:cs="微软雅黑"/>
          <w:i w:val="0"/>
          <w:caps w:val="0"/>
          <w:color w:val="333333"/>
          <w:spacing w:val="4"/>
          <w:sz w:val="24"/>
          <w:szCs w:val="2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center"/>
        <w:textAlignment w:val="auto"/>
        <w:rPr>
          <w:rFonts w:hint="eastAsia" w:ascii="微软雅黑" w:hAnsi="微软雅黑" w:eastAsia="微软雅黑" w:cs="微软雅黑"/>
          <w:i w:val="0"/>
          <w:caps w:val="0"/>
          <w:color w:val="333333"/>
          <w:spacing w:val="4"/>
          <w:sz w:val="24"/>
          <w:szCs w:val="24"/>
        </w:rPr>
      </w:pPr>
      <w:r>
        <w:rPr>
          <w:rStyle w:val="5"/>
          <w:rFonts w:hint="eastAsia" w:ascii="微软雅黑" w:hAnsi="微软雅黑" w:eastAsia="微软雅黑" w:cs="微软雅黑"/>
          <w:i w:val="0"/>
          <w:caps w:val="0"/>
          <w:color w:val="333333"/>
          <w:spacing w:val="4"/>
          <w:sz w:val="24"/>
          <w:szCs w:val="24"/>
          <w:shd w:val="clear" w:fill="FFFFFF"/>
        </w:rPr>
        <w:t>项目发起方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Style w:val="5"/>
          <w:rFonts w:hint="eastAsia" w:ascii="微软雅黑" w:hAnsi="微软雅黑" w:eastAsia="微软雅黑" w:cs="微软雅黑"/>
          <w:i w:val="0"/>
          <w:caps w:val="0"/>
          <w:color w:val="333333"/>
          <w:spacing w:val="4"/>
          <w:sz w:val="24"/>
          <w:szCs w:val="24"/>
          <w:shd w:val="clear" w:fill="FFFFFF"/>
        </w:rPr>
        <w:t>病痛挑战基金会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病痛挑战基金会是北京市第一家关注罕见病领域的公益基金会，起源于“冰桶挑战”，致力于支持罕见病病友的医疗康复，培训积极行动的罕见病自组织，搭建多方参与平台，打造公众链接感强的品牌项目，推动罕见病问题的制度保障，解决罕见病群体在医疗、康复、社会融入等方面的迫切问题，为其建立平等、受尊重的社会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Style w:val="5"/>
          <w:rFonts w:hint="eastAsia" w:ascii="微软雅黑" w:hAnsi="微软雅黑" w:eastAsia="微软雅黑" w:cs="微软雅黑"/>
          <w:i w:val="0"/>
          <w:caps w:val="0"/>
          <w:color w:val="333333"/>
          <w:spacing w:val="4"/>
          <w:sz w:val="24"/>
          <w:szCs w:val="24"/>
          <w:shd w:val="clear" w:fill="FFFFFF"/>
        </w:rPr>
        <w:t>浙江省企业权益保护协会社会公益部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浙江省企业权益保护协会由浙江省经信委主管，浙江省民政厅批准的，由天册律师事务所、金道律师事务所、金杜律师事务所、政法联律师事务所等国内外知名律师事务所和省内部分大型民营企业共同发起成立的社会团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Style w:val="5"/>
          <w:rFonts w:hint="eastAsia" w:ascii="微软雅黑" w:hAnsi="微软雅黑" w:eastAsia="微软雅黑" w:cs="微软雅黑"/>
          <w:i w:val="0"/>
          <w:caps w:val="0"/>
          <w:color w:val="333333"/>
          <w:spacing w:val="4"/>
          <w:sz w:val="24"/>
          <w:szCs w:val="24"/>
          <w:shd w:val="clear" w:fill="FFFFFF"/>
        </w:rPr>
        <w:t>中华社会救助基金会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中华社会救助基金会是民政部首批认定为具有公开募捐资格的慈善组织，2009年1月经中华人民共和国民政部批准设立登记，业务主管部门为民政部，由第九、第十届全国人大副委员长许嘉璐先生担任理事长。成立以来，开展了针对孤寡、失独、空巢老人，留守、贫困儿童、贫困大病患者等各类人群的帮扶救助项目逾百个，受益人群近千万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Style w:val="5"/>
          <w:rFonts w:hint="eastAsia" w:ascii="微软雅黑" w:hAnsi="微软雅黑" w:eastAsia="微软雅黑" w:cs="微软雅黑"/>
          <w:i w:val="0"/>
          <w:caps w:val="0"/>
          <w:color w:val="333333"/>
          <w:spacing w:val="4"/>
          <w:sz w:val="24"/>
          <w:szCs w:val="24"/>
          <w:shd w:val="clear" w:fill="FFFFFF"/>
        </w:rPr>
        <w:t>水滴公益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Fonts w:hint="eastAsia" w:ascii="微软雅黑" w:hAnsi="微软雅黑" w:eastAsia="微软雅黑" w:cs="微软雅黑"/>
          <w:i w:val="0"/>
          <w:caps w:val="0"/>
          <w:color w:val="333333"/>
          <w:spacing w:val="4"/>
          <w:sz w:val="24"/>
          <w:szCs w:val="24"/>
          <w:shd w:val="clear" w:fill="FFFFFF"/>
        </w:rPr>
        <w:t>水滴公益是水滴公司2018年7月正式上线的慈善组织互联网募捐信息平台。水滴公益融入移动互联网的智慧和精神，基于社交网络面向公众募捐，为公益组织提供全方位的支持。2018年5月24日，水滴公益获批成为民政部指定第二批慈善组织互联网募捐信息平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r>
        <w:rPr>
          <w:rStyle w:val="5"/>
          <w:rFonts w:hint="eastAsia" w:ascii="微软雅黑" w:hAnsi="微软雅黑" w:eastAsia="微软雅黑" w:cs="微软雅黑"/>
          <w:i w:val="0"/>
          <w:caps w:val="0"/>
          <w:color w:val="333333"/>
          <w:spacing w:val="4"/>
          <w:sz w:val="24"/>
          <w:szCs w:val="24"/>
          <w:shd w:val="clear" w:fill="FFFFFF"/>
        </w:rPr>
        <w:t>浙江省医学会罕见病分会主要专家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Fonts w:hint="eastAsia" w:ascii="微软雅黑" w:hAnsi="微软雅黑" w:eastAsia="微软雅黑" w:cs="微软雅黑"/>
          <w:i w:val="0"/>
          <w:caps w:val="0"/>
          <w:color w:val="333333"/>
          <w:spacing w:val="4"/>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Style w:val="5"/>
          <w:rFonts w:hint="eastAsia" w:ascii="微软雅黑" w:hAnsi="微软雅黑" w:eastAsia="微软雅黑" w:cs="微软雅黑"/>
          <w:i w:val="0"/>
          <w:caps w:val="0"/>
          <w:color w:val="333333"/>
          <w:spacing w:val="4"/>
          <w:sz w:val="24"/>
          <w:szCs w:val="24"/>
          <w:shd w:val="clear" w:fill="FFFFFF"/>
        </w:rPr>
      </w:pPr>
      <w:r>
        <w:rPr>
          <w:rStyle w:val="5"/>
          <w:rFonts w:hint="eastAsia" w:ascii="微软雅黑" w:hAnsi="微软雅黑" w:eastAsia="微软雅黑" w:cs="微软雅黑"/>
          <w:i w:val="0"/>
          <w:caps w:val="0"/>
          <w:color w:val="333333"/>
          <w:spacing w:val="4"/>
          <w:sz w:val="24"/>
          <w:szCs w:val="24"/>
          <w:shd w:val="clear" w:fill="FFFFFF"/>
        </w:rPr>
        <w:t>附录1：国家第一批罕见病目录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Style w:val="5"/>
          <w:rFonts w:hint="eastAsia" w:ascii="微软雅黑" w:hAnsi="微软雅黑" w:eastAsia="微软雅黑" w:cs="微软雅黑"/>
          <w:i w:val="0"/>
          <w:caps w:val="0"/>
          <w:color w:val="333333"/>
          <w:spacing w:val="4"/>
          <w:sz w:val="24"/>
          <w:szCs w:val="24"/>
          <w:shd w:val="clear" w:fill="FFFFFF"/>
        </w:rPr>
      </w:pPr>
    </w:p>
    <w:p>
      <w:pPr>
        <w:rPr>
          <w:rStyle w:val="5"/>
          <w:rFonts w:hint="eastAsia" w:ascii="微软雅黑" w:hAnsi="微软雅黑" w:eastAsia="微软雅黑" w:cs="微软雅黑"/>
          <w:i w:val="0"/>
          <w:caps w:val="0"/>
          <w:color w:val="333333"/>
          <w:spacing w:val="4"/>
          <w:kern w:val="0"/>
          <w:sz w:val="24"/>
          <w:szCs w:val="24"/>
          <w:shd w:val="clear" w:fill="FFFFFF"/>
          <w:lang w:val="en-US" w:eastAsia="zh-CN" w:bidi="ar"/>
        </w:rPr>
      </w:pPr>
      <w:r>
        <w:rPr>
          <w:rStyle w:val="5"/>
          <w:rFonts w:hint="eastAsia" w:ascii="微软雅黑" w:hAnsi="微软雅黑" w:eastAsia="微软雅黑" w:cs="微软雅黑"/>
          <w:i w:val="0"/>
          <w:caps w:val="0"/>
          <w:color w:val="333333"/>
          <w:spacing w:val="4"/>
          <w:kern w:val="0"/>
          <w:sz w:val="24"/>
          <w:szCs w:val="24"/>
          <w:shd w:val="clear" w:fill="FFFFFF"/>
          <w:lang w:val="en-US" w:eastAsia="zh-CN" w:bidi="ar"/>
        </w:rPr>
        <w:t>附录2：浙江省罕见病诊疗协作网医院 </w:t>
      </w:r>
    </w:p>
    <w:p>
      <w:pPr>
        <w:rPr>
          <w:rStyle w:val="5"/>
          <w:rFonts w:hint="eastAsia" w:ascii="微软雅黑" w:hAnsi="微软雅黑" w:eastAsia="微软雅黑" w:cs="微软雅黑"/>
          <w:i w:val="0"/>
          <w:caps w:val="0"/>
          <w:color w:val="333333"/>
          <w:spacing w:val="4"/>
          <w:kern w:val="0"/>
          <w:sz w:val="24"/>
          <w:szCs w:val="24"/>
          <w:shd w:val="clear" w:fill="FFFFFF"/>
          <w:lang w:val="en-US" w:eastAsia="zh-CN" w:bidi="ar"/>
        </w:rPr>
      </w:pPr>
    </w:p>
    <w:p>
      <w:pPr>
        <w:rPr>
          <w:rStyle w:val="5"/>
          <w:rFonts w:hint="eastAsia" w:ascii="微软雅黑" w:hAnsi="微软雅黑" w:eastAsia="微软雅黑" w:cs="微软雅黑"/>
          <w:i w:val="0"/>
          <w:caps w:val="0"/>
          <w:color w:val="333333"/>
          <w:spacing w:val="4"/>
          <w:kern w:val="0"/>
          <w:sz w:val="24"/>
          <w:szCs w:val="24"/>
          <w:shd w:val="clear" w:fill="FFFFFF"/>
          <w:lang w:val="en-US" w:eastAsia="zh-CN" w:bidi="ar"/>
        </w:rPr>
      </w:pPr>
    </w:p>
    <w:p>
      <w:pPr>
        <w:rPr>
          <w:rStyle w:val="5"/>
          <w:rFonts w:hint="eastAsia" w:ascii="微软雅黑" w:hAnsi="微软雅黑" w:eastAsia="微软雅黑" w:cs="微软雅黑"/>
          <w:i w:val="0"/>
          <w:caps w:val="0"/>
          <w:color w:val="333333"/>
          <w:spacing w:val="4"/>
          <w:kern w:val="0"/>
          <w:sz w:val="24"/>
          <w:szCs w:val="24"/>
          <w:shd w:val="clear" w:fill="FFFFFF"/>
          <w:lang w:val="en-US" w:eastAsia="zh-CN" w:bidi="ar"/>
        </w:rPr>
      </w:pPr>
    </w:p>
    <w:p>
      <w:pPr>
        <w:rPr>
          <w:rStyle w:val="5"/>
          <w:rFonts w:hint="eastAsia" w:ascii="微软雅黑" w:hAnsi="微软雅黑" w:eastAsia="微软雅黑" w:cs="微软雅黑"/>
          <w:i w:val="0"/>
          <w:caps w:val="0"/>
          <w:color w:val="333333"/>
          <w:spacing w:val="4"/>
          <w:kern w:val="0"/>
          <w:sz w:val="24"/>
          <w:szCs w:val="24"/>
          <w:shd w:val="clear" w:fill="FFFFFF"/>
          <w:lang w:val="en-US" w:eastAsia="zh-CN" w:bidi="ar"/>
        </w:rPr>
      </w:pPr>
    </w:p>
    <w:p>
      <w:pPr>
        <w:rPr>
          <w:rStyle w:val="5"/>
          <w:rFonts w:hint="eastAsia" w:ascii="微软雅黑" w:hAnsi="微软雅黑" w:eastAsia="微软雅黑" w:cs="微软雅黑"/>
          <w:i w:val="0"/>
          <w:caps w:val="0"/>
          <w:color w:val="333333"/>
          <w:spacing w:val="4"/>
          <w:kern w:val="0"/>
          <w:sz w:val="24"/>
          <w:szCs w:val="24"/>
          <w:shd w:val="clear" w:fill="FFFFFF"/>
          <w:lang w:val="en-US" w:eastAsia="zh-CN" w:bidi="ar"/>
        </w:rPr>
      </w:pPr>
    </w:p>
    <w:tbl>
      <w:tblPr>
        <w:tblStyle w:val="3"/>
        <w:tblW w:w="9458" w:type="dxa"/>
        <w:tblInd w:w="0" w:type="dxa"/>
        <w:shd w:val="clear" w:color="auto" w:fill="auto"/>
        <w:tblLayout w:type="autofit"/>
        <w:tblCellMar>
          <w:top w:w="0" w:type="dxa"/>
          <w:left w:w="0" w:type="dxa"/>
          <w:bottom w:w="0" w:type="dxa"/>
          <w:right w:w="0" w:type="dxa"/>
        </w:tblCellMar>
      </w:tblPr>
      <w:tblGrid>
        <w:gridCol w:w="441"/>
        <w:gridCol w:w="2644"/>
        <w:gridCol w:w="6373"/>
      </w:tblGrid>
      <w:tr>
        <w:tblPrEx>
          <w:shd w:val="clear" w:color="auto" w:fill="auto"/>
          <w:tblCellMar>
            <w:top w:w="0" w:type="dxa"/>
            <w:left w:w="0" w:type="dxa"/>
            <w:bottom w:w="0" w:type="dxa"/>
            <w:right w:w="0" w:type="dxa"/>
          </w:tblCellMar>
        </w:tblPrEx>
        <w:trPr>
          <w:trHeight w:val="655" w:hRule="atLeast"/>
        </w:trPr>
        <w:tc>
          <w:tcPr>
            <w:tcW w:w="9461" w:type="dxa"/>
            <w:gridSpan w:val="3"/>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浙江省罕见病诊疗协作网医院</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序号</w:t>
            </w:r>
          </w:p>
        </w:tc>
        <w:tc>
          <w:tcPr>
            <w:tcW w:w="24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ascii="Microsoft YaHei UI" w:hAnsi="Microsoft YaHei UI" w:eastAsia="Microsoft YaHei UI" w:cs="Microsoft YaHei UI"/>
                <w:b/>
                <w:i w:val="0"/>
                <w:color w:val="000000"/>
                <w:sz w:val="20"/>
                <w:szCs w:val="20"/>
                <w:u w:val="none"/>
              </w:rPr>
            </w:pPr>
            <w:r>
              <w:rPr>
                <w:rFonts w:hint="eastAsia" w:ascii="Microsoft YaHei UI" w:hAnsi="Microsoft YaHei UI" w:eastAsia="Microsoft YaHei UI" w:cs="Microsoft YaHei UI"/>
                <w:b/>
                <w:i w:val="0"/>
                <w:color w:val="000000"/>
                <w:kern w:val="0"/>
                <w:sz w:val="20"/>
                <w:szCs w:val="20"/>
                <w:u w:val="none"/>
                <w:lang w:val="en-US" w:eastAsia="zh-CN" w:bidi="ar"/>
              </w:rPr>
              <w:t>类型</w:t>
            </w:r>
          </w:p>
        </w:tc>
        <w:tc>
          <w:tcPr>
            <w:tcW w:w="5968"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Microsoft YaHei UI" w:hAnsi="Microsoft YaHei UI" w:eastAsia="Microsoft YaHei UI" w:cs="Microsoft YaHei UI"/>
                <w:b/>
                <w:i w:val="0"/>
                <w:color w:val="000000"/>
                <w:sz w:val="20"/>
                <w:szCs w:val="20"/>
                <w:u w:val="none"/>
              </w:rPr>
            </w:pPr>
            <w:r>
              <w:rPr>
                <w:rFonts w:hint="eastAsia" w:ascii="Microsoft YaHei UI" w:hAnsi="Microsoft YaHei UI" w:eastAsia="Microsoft YaHei UI" w:cs="Microsoft YaHei UI"/>
                <w:b/>
                <w:i w:val="0"/>
                <w:color w:val="000000"/>
                <w:kern w:val="0"/>
                <w:sz w:val="20"/>
                <w:szCs w:val="20"/>
                <w:u w:val="none"/>
                <w:lang w:val="en-US" w:eastAsia="zh-CN" w:bidi="ar"/>
              </w:rPr>
              <w:t>医院名称</w:t>
            </w: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24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eastAsia" w:ascii="Microsoft YaHei UI" w:hAnsi="Microsoft YaHei UI" w:eastAsia="Microsoft YaHei UI" w:cs="Microsoft YaHei UI"/>
                <w:i w:val="0"/>
                <w:color w:val="000000"/>
                <w:sz w:val="20"/>
                <w:szCs w:val="20"/>
                <w:u w:val="none"/>
              </w:rPr>
            </w:pPr>
            <w:r>
              <w:rPr>
                <w:rFonts w:hint="eastAsia" w:ascii="Microsoft YaHei UI" w:hAnsi="Microsoft YaHei UI" w:eastAsia="Microsoft YaHei UI" w:cs="Microsoft YaHei UI"/>
                <w:i w:val="0"/>
                <w:color w:val="000000"/>
                <w:kern w:val="0"/>
                <w:sz w:val="20"/>
                <w:szCs w:val="20"/>
                <w:u w:val="none"/>
                <w:lang w:val="en-US" w:eastAsia="zh-CN" w:bidi="ar"/>
              </w:rPr>
              <w:t>省级牵头医院</w:t>
            </w:r>
          </w:p>
        </w:tc>
        <w:tc>
          <w:tcPr>
            <w:tcW w:w="5968"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eastAsia" w:ascii="Microsoft YaHei UI" w:hAnsi="Microsoft YaHei UI" w:eastAsia="Microsoft YaHei UI" w:cs="Microsoft YaHei UI"/>
                <w:i w:val="0"/>
                <w:color w:val="000000"/>
                <w:sz w:val="20"/>
                <w:szCs w:val="20"/>
                <w:u w:val="none"/>
              </w:rPr>
            </w:pPr>
            <w:r>
              <w:rPr>
                <w:rFonts w:hint="eastAsia" w:ascii="Microsoft YaHei UI" w:hAnsi="Microsoft YaHei UI" w:eastAsia="Microsoft YaHei UI" w:cs="Microsoft YaHei UI"/>
                <w:i w:val="0"/>
                <w:color w:val="000000"/>
                <w:kern w:val="0"/>
                <w:sz w:val="20"/>
                <w:szCs w:val="20"/>
                <w:u w:val="none"/>
                <w:lang w:val="en-US" w:eastAsia="zh-CN" w:bidi="ar"/>
              </w:rPr>
              <w:t>浙江大学医学院附属第二医院</w:t>
            </w: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24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eastAsia" w:ascii="Microsoft YaHei UI" w:hAnsi="Microsoft YaHei UI" w:eastAsia="Microsoft YaHei UI" w:cs="Microsoft YaHei UI"/>
                <w:i w:val="0"/>
                <w:color w:val="000000"/>
                <w:sz w:val="20"/>
                <w:szCs w:val="20"/>
                <w:u w:val="none"/>
              </w:rPr>
            </w:pPr>
            <w:r>
              <w:rPr>
                <w:rFonts w:hint="eastAsia" w:ascii="Microsoft YaHei UI" w:hAnsi="Microsoft YaHei UI" w:eastAsia="Microsoft YaHei UI" w:cs="Microsoft YaHei UI"/>
                <w:i w:val="0"/>
                <w:color w:val="000000"/>
                <w:kern w:val="0"/>
                <w:sz w:val="20"/>
                <w:szCs w:val="20"/>
                <w:u w:val="none"/>
                <w:lang w:val="en-US" w:eastAsia="zh-CN" w:bidi="ar"/>
              </w:rPr>
              <w:t>成员医院</w:t>
            </w:r>
          </w:p>
        </w:tc>
        <w:tc>
          <w:tcPr>
            <w:tcW w:w="5968"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eastAsia" w:ascii="Microsoft YaHei UI" w:hAnsi="Microsoft YaHei UI" w:eastAsia="Microsoft YaHei UI" w:cs="Microsoft YaHei UI"/>
                <w:i w:val="0"/>
                <w:color w:val="000000"/>
                <w:sz w:val="20"/>
                <w:szCs w:val="20"/>
                <w:u w:val="none"/>
              </w:rPr>
            </w:pPr>
            <w:r>
              <w:rPr>
                <w:rFonts w:hint="eastAsia" w:ascii="Microsoft YaHei UI" w:hAnsi="Microsoft YaHei UI" w:eastAsia="Microsoft YaHei UI" w:cs="Microsoft YaHei UI"/>
                <w:i w:val="0"/>
                <w:color w:val="000000"/>
                <w:kern w:val="0"/>
                <w:sz w:val="20"/>
                <w:szCs w:val="20"/>
                <w:u w:val="none"/>
                <w:lang w:val="en-US" w:eastAsia="zh-CN" w:bidi="ar"/>
              </w:rPr>
              <w:t>浙江大学医学院附属第一医院</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24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rPr>
                <w:rFonts w:hint="eastAsia" w:ascii="Microsoft YaHei UI" w:hAnsi="Microsoft YaHei UI" w:eastAsia="Microsoft YaHei UI" w:cs="Microsoft YaHei UI"/>
                <w:i w:val="0"/>
                <w:color w:val="000000"/>
                <w:sz w:val="20"/>
                <w:szCs w:val="20"/>
                <w:u w:val="none"/>
              </w:rPr>
            </w:pPr>
          </w:p>
        </w:tc>
        <w:tc>
          <w:tcPr>
            <w:tcW w:w="5968"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eastAsia" w:ascii="Microsoft YaHei UI" w:hAnsi="Microsoft YaHei UI" w:eastAsia="Microsoft YaHei UI" w:cs="Microsoft YaHei UI"/>
                <w:i w:val="0"/>
                <w:color w:val="000000"/>
                <w:sz w:val="20"/>
                <w:szCs w:val="20"/>
                <w:u w:val="none"/>
              </w:rPr>
            </w:pPr>
            <w:r>
              <w:rPr>
                <w:rFonts w:hint="eastAsia" w:ascii="Microsoft YaHei UI" w:hAnsi="Microsoft YaHei UI" w:eastAsia="Microsoft YaHei UI" w:cs="Microsoft YaHei UI"/>
                <w:i w:val="0"/>
                <w:color w:val="000000"/>
                <w:kern w:val="0"/>
                <w:sz w:val="20"/>
                <w:szCs w:val="20"/>
                <w:u w:val="none"/>
                <w:lang w:val="en-US" w:eastAsia="zh-CN" w:bidi="ar"/>
              </w:rPr>
              <w:t>浙江大学医学院附属儿童医院</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w:t>
            </w:r>
          </w:p>
        </w:tc>
        <w:tc>
          <w:tcPr>
            <w:tcW w:w="24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rPr>
                <w:rFonts w:hint="eastAsia" w:ascii="Microsoft YaHei UI" w:hAnsi="Microsoft YaHei UI" w:eastAsia="Microsoft YaHei UI" w:cs="Microsoft YaHei UI"/>
                <w:i w:val="0"/>
                <w:color w:val="000000"/>
                <w:sz w:val="20"/>
                <w:szCs w:val="20"/>
                <w:u w:val="none"/>
              </w:rPr>
            </w:pPr>
          </w:p>
        </w:tc>
        <w:tc>
          <w:tcPr>
            <w:tcW w:w="5968"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eastAsia" w:ascii="Microsoft YaHei UI" w:hAnsi="Microsoft YaHei UI" w:eastAsia="Microsoft YaHei UI" w:cs="Microsoft YaHei UI"/>
                <w:i w:val="0"/>
                <w:color w:val="000000"/>
                <w:sz w:val="20"/>
                <w:szCs w:val="20"/>
                <w:u w:val="none"/>
              </w:rPr>
            </w:pPr>
            <w:r>
              <w:rPr>
                <w:rFonts w:hint="eastAsia" w:ascii="Microsoft YaHei UI" w:hAnsi="Microsoft YaHei UI" w:eastAsia="Microsoft YaHei UI" w:cs="Microsoft YaHei UI"/>
                <w:i w:val="0"/>
                <w:color w:val="000000"/>
                <w:kern w:val="0"/>
                <w:sz w:val="20"/>
                <w:szCs w:val="20"/>
                <w:u w:val="none"/>
                <w:lang w:val="en-US" w:eastAsia="zh-CN" w:bidi="ar"/>
              </w:rPr>
              <w:t>浙江大学医学院附属邵逸夫医院</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24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rPr>
                <w:rFonts w:hint="eastAsia" w:ascii="Microsoft YaHei UI" w:hAnsi="Microsoft YaHei UI" w:eastAsia="Microsoft YaHei UI" w:cs="Microsoft YaHei UI"/>
                <w:i w:val="0"/>
                <w:color w:val="000000"/>
                <w:sz w:val="20"/>
                <w:szCs w:val="20"/>
                <w:u w:val="none"/>
              </w:rPr>
            </w:pPr>
          </w:p>
        </w:tc>
        <w:tc>
          <w:tcPr>
            <w:tcW w:w="5968"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eastAsia" w:ascii="Microsoft YaHei UI" w:hAnsi="Microsoft YaHei UI" w:eastAsia="Microsoft YaHei UI" w:cs="Microsoft YaHei UI"/>
                <w:i w:val="0"/>
                <w:color w:val="000000"/>
                <w:sz w:val="20"/>
                <w:szCs w:val="20"/>
                <w:u w:val="none"/>
              </w:rPr>
            </w:pPr>
            <w:r>
              <w:rPr>
                <w:rFonts w:hint="eastAsia" w:ascii="Microsoft YaHei UI" w:hAnsi="Microsoft YaHei UI" w:eastAsia="Microsoft YaHei UI" w:cs="Microsoft YaHei UI"/>
                <w:i w:val="0"/>
                <w:color w:val="000000"/>
                <w:kern w:val="0"/>
                <w:sz w:val="20"/>
                <w:szCs w:val="20"/>
                <w:u w:val="none"/>
                <w:lang w:val="en-US" w:eastAsia="zh-CN" w:bidi="ar"/>
              </w:rPr>
              <w:t>浙江省人民医院</w:t>
            </w: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w:t>
            </w:r>
          </w:p>
        </w:tc>
        <w:tc>
          <w:tcPr>
            <w:tcW w:w="24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rPr>
                <w:rFonts w:hint="eastAsia" w:ascii="Microsoft YaHei UI" w:hAnsi="Microsoft YaHei UI" w:eastAsia="Microsoft YaHei UI" w:cs="Microsoft YaHei UI"/>
                <w:i w:val="0"/>
                <w:color w:val="000000"/>
                <w:sz w:val="20"/>
                <w:szCs w:val="20"/>
                <w:u w:val="none"/>
              </w:rPr>
            </w:pPr>
          </w:p>
        </w:tc>
        <w:tc>
          <w:tcPr>
            <w:tcW w:w="5968"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eastAsia" w:ascii="Microsoft YaHei UI" w:hAnsi="Microsoft YaHei UI" w:eastAsia="Microsoft YaHei UI" w:cs="Microsoft YaHei UI"/>
                <w:i w:val="0"/>
                <w:color w:val="000000"/>
                <w:sz w:val="20"/>
                <w:szCs w:val="20"/>
                <w:u w:val="none"/>
              </w:rPr>
            </w:pPr>
            <w:r>
              <w:rPr>
                <w:rFonts w:hint="eastAsia" w:ascii="Microsoft YaHei UI" w:hAnsi="Microsoft YaHei UI" w:eastAsia="Microsoft YaHei UI" w:cs="Microsoft YaHei UI"/>
                <w:i w:val="0"/>
                <w:color w:val="000000"/>
                <w:kern w:val="0"/>
                <w:sz w:val="20"/>
                <w:szCs w:val="20"/>
                <w:u w:val="none"/>
                <w:lang w:val="en-US" w:eastAsia="zh-CN" w:bidi="ar"/>
              </w:rPr>
              <w:t>浙江省中医院</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w:t>
            </w:r>
          </w:p>
        </w:tc>
        <w:tc>
          <w:tcPr>
            <w:tcW w:w="24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rPr>
                <w:rFonts w:hint="eastAsia" w:ascii="Microsoft YaHei UI" w:hAnsi="Microsoft YaHei UI" w:eastAsia="Microsoft YaHei UI" w:cs="Microsoft YaHei UI"/>
                <w:i w:val="0"/>
                <w:color w:val="000000"/>
                <w:sz w:val="20"/>
                <w:szCs w:val="20"/>
                <w:u w:val="none"/>
              </w:rPr>
            </w:pPr>
          </w:p>
        </w:tc>
        <w:tc>
          <w:tcPr>
            <w:tcW w:w="5968"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eastAsia" w:ascii="Microsoft YaHei UI" w:hAnsi="Microsoft YaHei UI" w:eastAsia="Microsoft YaHei UI" w:cs="Microsoft YaHei UI"/>
                <w:i w:val="0"/>
                <w:color w:val="000000"/>
                <w:sz w:val="20"/>
                <w:szCs w:val="20"/>
                <w:u w:val="none"/>
              </w:rPr>
            </w:pPr>
            <w:r>
              <w:rPr>
                <w:rFonts w:hint="eastAsia" w:ascii="Microsoft YaHei UI" w:hAnsi="Microsoft YaHei UI" w:eastAsia="Microsoft YaHei UI" w:cs="Microsoft YaHei UI"/>
                <w:i w:val="0"/>
                <w:color w:val="000000"/>
                <w:kern w:val="0"/>
                <w:sz w:val="20"/>
                <w:szCs w:val="20"/>
                <w:u w:val="none"/>
                <w:lang w:val="en-US" w:eastAsia="zh-CN" w:bidi="ar"/>
              </w:rPr>
              <w:t>浙江省肿瘤医院</w:t>
            </w: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w:t>
            </w:r>
          </w:p>
        </w:tc>
        <w:tc>
          <w:tcPr>
            <w:tcW w:w="24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rPr>
                <w:rFonts w:hint="eastAsia" w:ascii="Microsoft YaHei UI" w:hAnsi="Microsoft YaHei UI" w:eastAsia="Microsoft YaHei UI" w:cs="Microsoft YaHei UI"/>
                <w:i w:val="0"/>
                <w:color w:val="000000"/>
                <w:sz w:val="20"/>
                <w:szCs w:val="20"/>
                <w:u w:val="none"/>
              </w:rPr>
            </w:pPr>
          </w:p>
        </w:tc>
        <w:tc>
          <w:tcPr>
            <w:tcW w:w="5968"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eastAsia" w:ascii="Microsoft YaHei UI" w:hAnsi="Microsoft YaHei UI" w:eastAsia="Microsoft YaHei UI" w:cs="Microsoft YaHei UI"/>
                <w:i w:val="0"/>
                <w:color w:val="000000"/>
                <w:sz w:val="20"/>
                <w:szCs w:val="20"/>
                <w:u w:val="none"/>
              </w:rPr>
            </w:pPr>
            <w:r>
              <w:rPr>
                <w:rFonts w:hint="eastAsia" w:ascii="Microsoft YaHei UI" w:hAnsi="Microsoft YaHei UI" w:eastAsia="Microsoft YaHei UI" w:cs="Microsoft YaHei UI"/>
                <w:i w:val="0"/>
                <w:color w:val="000000"/>
                <w:kern w:val="0"/>
                <w:sz w:val="20"/>
                <w:szCs w:val="20"/>
                <w:u w:val="none"/>
                <w:lang w:val="en-US" w:eastAsia="zh-CN" w:bidi="ar"/>
              </w:rPr>
              <w:t>宁波市第一医院</w:t>
            </w: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w:t>
            </w:r>
          </w:p>
        </w:tc>
        <w:tc>
          <w:tcPr>
            <w:tcW w:w="24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rPr>
                <w:rFonts w:hint="eastAsia" w:ascii="Microsoft YaHei UI" w:hAnsi="Microsoft YaHei UI" w:eastAsia="Microsoft YaHei UI" w:cs="Microsoft YaHei UI"/>
                <w:i w:val="0"/>
                <w:color w:val="000000"/>
                <w:sz w:val="20"/>
                <w:szCs w:val="20"/>
                <w:u w:val="none"/>
              </w:rPr>
            </w:pPr>
          </w:p>
        </w:tc>
        <w:tc>
          <w:tcPr>
            <w:tcW w:w="5968"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eastAsia" w:ascii="Microsoft YaHei UI" w:hAnsi="Microsoft YaHei UI" w:eastAsia="Microsoft YaHei UI" w:cs="Microsoft YaHei UI"/>
                <w:i w:val="0"/>
                <w:color w:val="000000"/>
                <w:sz w:val="20"/>
                <w:szCs w:val="20"/>
                <w:u w:val="none"/>
              </w:rPr>
            </w:pPr>
            <w:r>
              <w:rPr>
                <w:rFonts w:hint="eastAsia" w:ascii="Microsoft YaHei UI" w:hAnsi="Microsoft YaHei UI" w:eastAsia="Microsoft YaHei UI" w:cs="Microsoft YaHei UI"/>
                <w:i w:val="0"/>
                <w:color w:val="000000"/>
                <w:kern w:val="0"/>
                <w:sz w:val="20"/>
                <w:szCs w:val="20"/>
                <w:u w:val="none"/>
                <w:lang w:val="en-US" w:eastAsia="zh-CN" w:bidi="ar"/>
              </w:rPr>
              <w:t>温州医科大学附属第一医院</w:t>
            </w: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24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rPr>
                <w:rFonts w:hint="eastAsia" w:ascii="Microsoft YaHei UI" w:hAnsi="Microsoft YaHei UI" w:eastAsia="Microsoft YaHei UI" w:cs="Microsoft YaHei UI"/>
                <w:i w:val="0"/>
                <w:color w:val="000000"/>
                <w:sz w:val="20"/>
                <w:szCs w:val="20"/>
                <w:u w:val="none"/>
              </w:rPr>
            </w:pPr>
          </w:p>
        </w:tc>
        <w:tc>
          <w:tcPr>
            <w:tcW w:w="5968"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eastAsia" w:ascii="Microsoft YaHei UI" w:hAnsi="Microsoft YaHei UI" w:eastAsia="Microsoft YaHei UI" w:cs="Microsoft YaHei UI"/>
                <w:i w:val="0"/>
                <w:color w:val="000000"/>
                <w:sz w:val="20"/>
                <w:szCs w:val="20"/>
                <w:u w:val="none"/>
              </w:rPr>
            </w:pPr>
            <w:r>
              <w:rPr>
                <w:rFonts w:hint="eastAsia" w:ascii="Microsoft YaHei UI" w:hAnsi="Microsoft YaHei UI" w:eastAsia="Microsoft YaHei UI" w:cs="Microsoft YaHei UI"/>
                <w:i w:val="0"/>
                <w:color w:val="000000"/>
                <w:kern w:val="0"/>
                <w:sz w:val="20"/>
                <w:szCs w:val="20"/>
                <w:u w:val="none"/>
                <w:lang w:val="en-US" w:eastAsia="zh-CN" w:bidi="ar"/>
              </w:rPr>
              <w:t>温州医科大学附属第二医院</w:t>
            </w:r>
          </w:p>
        </w:tc>
      </w:tr>
      <w:tr>
        <w:tblPrEx>
          <w:shd w:val="clear" w:color="auto" w:fill="auto"/>
          <w:tblCellMar>
            <w:top w:w="0" w:type="dxa"/>
            <w:left w:w="0" w:type="dxa"/>
            <w:bottom w:w="0" w:type="dxa"/>
            <w:right w:w="0" w:type="dxa"/>
          </w:tblCellMar>
        </w:tblPrEx>
        <w:trPr>
          <w:trHeight w:val="500" w:hRule="atLeast"/>
        </w:trPr>
        <w:tc>
          <w:tcPr>
            <w:tcW w:w="0" w:type="auto"/>
            <w:tcBorders>
              <w:top w:val="nil"/>
              <w:left w:val="nil"/>
              <w:bottom w:val="nil"/>
              <w:right w:val="nil"/>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11</w:t>
            </w:r>
          </w:p>
        </w:tc>
        <w:tc>
          <w:tcPr>
            <w:tcW w:w="24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rPr>
                <w:rFonts w:hint="eastAsia" w:ascii="Microsoft YaHei UI" w:hAnsi="Microsoft YaHei UI" w:eastAsia="Microsoft YaHei UI" w:cs="Microsoft YaHei UI"/>
                <w:i w:val="0"/>
                <w:color w:val="000000"/>
                <w:sz w:val="20"/>
                <w:szCs w:val="20"/>
                <w:u w:val="none"/>
              </w:rPr>
            </w:pPr>
          </w:p>
        </w:tc>
        <w:tc>
          <w:tcPr>
            <w:tcW w:w="5968"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eastAsia" w:ascii="Microsoft YaHei UI" w:hAnsi="Microsoft YaHei UI" w:eastAsia="Microsoft YaHei UI" w:cs="Microsoft YaHei UI"/>
                <w:i w:val="0"/>
                <w:color w:val="000000"/>
                <w:sz w:val="20"/>
                <w:szCs w:val="20"/>
                <w:u w:val="none"/>
              </w:rPr>
            </w:pPr>
            <w:r>
              <w:rPr>
                <w:rFonts w:hint="eastAsia" w:ascii="Microsoft YaHei UI" w:hAnsi="Microsoft YaHei UI" w:eastAsia="Microsoft YaHei UI" w:cs="Microsoft YaHei UI"/>
                <w:i w:val="0"/>
                <w:color w:val="000000"/>
                <w:kern w:val="0"/>
                <w:sz w:val="20"/>
                <w:szCs w:val="20"/>
                <w:u w:val="none"/>
                <w:lang w:val="en-US" w:eastAsia="zh-CN" w:bidi="ar"/>
              </w:rPr>
              <w:t>温州医科大学附属眼视光医院</w:t>
            </w: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12</w:t>
            </w:r>
          </w:p>
        </w:tc>
        <w:tc>
          <w:tcPr>
            <w:tcW w:w="24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rPr>
                <w:rFonts w:hint="eastAsia" w:ascii="Microsoft YaHei UI" w:hAnsi="Microsoft YaHei UI" w:eastAsia="Microsoft YaHei UI" w:cs="Microsoft YaHei UI"/>
                <w:i w:val="0"/>
                <w:color w:val="000000"/>
                <w:sz w:val="20"/>
                <w:szCs w:val="20"/>
                <w:u w:val="none"/>
              </w:rPr>
            </w:pPr>
          </w:p>
        </w:tc>
        <w:tc>
          <w:tcPr>
            <w:tcW w:w="5968"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eastAsia" w:ascii="Microsoft YaHei UI" w:hAnsi="Microsoft YaHei UI" w:eastAsia="Microsoft YaHei UI" w:cs="Microsoft YaHei UI"/>
                <w:i w:val="0"/>
                <w:color w:val="000000"/>
                <w:sz w:val="20"/>
                <w:szCs w:val="20"/>
                <w:u w:val="none"/>
              </w:rPr>
            </w:pPr>
            <w:r>
              <w:rPr>
                <w:rFonts w:hint="eastAsia" w:ascii="Microsoft YaHei UI" w:hAnsi="Microsoft YaHei UI" w:eastAsia="Microsoft YaHei UI" w:cs="Microsoft YaHei UI"/>
                <w:i w:val="0"/>
                <w:color w:val="000000"/>
                <w:kern w:val="0"/>
                <w:sz w:val="20"/>
                <w:szCs w:val="20"/>
                <w:u w:val="none"/>
                <w:lang w:val="en-US" w:eastAsia="zh-CN" w:bidi="ar"/>
              </w:rPr>
              <w:t>浙江省台州医院</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360" w:lineRule="exact"/>
        <w:ind w:left="0" w:right="0" w:firstLine="0"/>
        <w:jc w:val="both"/>
        <w:textAlignment w:val="auto"/>
        <w:rPr>
          <w:rStyle w:val="5"/>
          <w:rFonts w:hint="eastAsia" w:ascii="微软雅黑" w:hAnsi="微软雅黑" w:eastAsia="微软雅黑" w:cs="微软雅黑"/>
          <w:i w:val="0"/>
          <w:caps w:val="0"/>
          <w:color w:val="333333"/>
          <w:spacing w:val="4"/>
          <w:sz w:val="24"/>
          <w:szCs w:val="24"/>
          <w:shd w:val="clear" w:fill="FFFFFF"/>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D1A16"/>
    <w:rsid w:val="63247D34"/>
    <w:rsid w:val="7DEE4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NUL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2022-01-06T03:27:00Z</dcterms:created>
  <dc:creator>Lenovo</dc:creator>
  <cp:lastModifiedBy>mumu</cp:lastModifiedBy>
  <dcterms:modified xsi:type="dcterms:W3CDTF">2022-05-06T08:36:06Z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